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0C40" w14:textId="3F2D8FF4" w:rsidR="00854304" w:rsidRPr="00600E86" w:rsidRDefault="00D856FD" w:rsidP="00E111AE">
      <w:pPr>
        <w:jc w:val="right"/>
        <w:rPr>
          <w:rFonts w:ascii="Verdana" w:hAnsi="Verdana"/>
        </w:rPr>
      </w:pPr>
      <w:r w:rsidRPr="00600E86">
        <w:rPr>
          <w:rFonts w:ascii="Verdana" w:hAnsi="Verdana"/>
          <w:noProof/>
        </w:rPr>
        <w:drawing>
          <wp:anchor distT="0" distB="0" distL="114300" distR="114300" simplePos="0" relativeHeight="251659264" behindDoc="0" locked="0" layoutInCell="1" allowOverlap="1" wp14:anchorId="51F86832" wp14:editId="2D99EF50">
            <wp:simplePos x="0" y="0"/>
            <wp:positionH relativeFrom="column">
              <wp:posOffset>4533900</wp:posOffset>
            </wp:positionH>
            <wp:positionV relativeFrom="paragraph">
              <wp:posOffset>0</wp:posOffset>
            </wp:positionV>
            <wp:extent cx="1219835" cy="1219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0268D" w14:textId="77777777" w:rsidR="003D396C" w:rsidRPr="00E943F5" w:rsidRDefault="003D396C" w:rsidP="003D396C">
      <w:pPr>
        <w:spacing w:after="0" w:line="240" w:lineRule="auto"/>
        <w:rPr>
          <w:rFonts w:ascii="Verdana" w:eastAsia="Times New Roman" w:hAnsi="Verdana" w:cs="Times New Roman"/>
          <w:kern w:val="0"/>
          <w14:ligatures w14:val="none"/>
        </w:rPr>
      </w:pPr>
    </w:p>
    <w:p w14:paraId="388CAE8D" w14:textId="57ADB79E" w:rsidR="003D396C" w:rsidRPr="00600E86" w:rsidRDefault="003D396C" w:rsidP="003D396C">
      <w:pPr>
        <w:jc w:val="right"/>
        <w:rPr>
          <w:rFonts w:ascii="Verdana" w:hAnsi="Verdana"/>
        </w:rPr>
      </w:pPr>
    </w:p>
    <w:p w14:paraId="7FB09D00" w14:textId="77777777" w:rsidR="00E10BB8" w:rsidRPr="00435711" w:rsidRDefault="00E10BB8" w:rsidP="00E10BB8">
      <w:pPr>
        <w:pStyle w:val="PlainText"/>
        <w:contextualSpacing/>
        <w:jc w:val="both"/>
        <w:rPr>
          <w:rFonts w:ascii="Verdana" w:hAnsi="Verdana"/>
          <w:b/>
          <w:sz w:val="22"/>
          <w:szCs w:val="22"/>
        </w:rPr>
      </w:pPr>
      <w:r w:rsidRPr="00435711">
        <w:rPr>
          <w:rFonts w:ascii="Verdana" w:hAnsi="Verdana"/>
          <w:b/>
          <w:sz w:val="22"/>
          <w:szCs w:val="22"/>
        </w:rPr>
        <w:t>PSM/CTC/1/01 (102) VOL. 1</w:t>
      </w:r>
    </w:p>
    <w:p w14:paraId="3584077B" w14:textId="77777777" w:rsidR="00E10BB8" w:rsidRPr="00435711" w:rsidRDefault="00E10BB8" w:rsidP="00E10BB8">
      <w:pPr>
        <w:pStyle w:val="BodyText2"/>
        <w:contextualSpacing/>
        <w:rPr>
          <w:rFonts w:ascii="Verdana" w:hAnsi="Verdana"/>
          <w:b/>
          <w:sz w:val="22"/>
          <w:szCs w:val="22"/>
          <w:lang w:val="en-GB"/>
        </w:rPr>
      </w:pPr>
    </w:p>
    <w:p w14:paraId="251FC48A" w14:textId="77777777" w:rsidR="00E10BB8" w:rsidRPr="00435711" w:rsidRDefault="00E10BB8" w:rsidP="00E10BB8">
      <w:pPr>
        <w:pStyle w:val="BodyText2"/>
        <w:contextualSpacing/>
        <w:rPr>
          <w:rFonts w:ascii="Verdana" w:hAnsi="Verdana"/>
          <w:sz w:val="22"/>
          <w:szCs w:val="22"/>
          <w:lang w:val="en-GB"/>
        </w:rPr>
      </w:pPr>
      <w:r w:rsidRPr="00435711">
        <w:rPr>
          <w:rFonts w:ascii="Verdana" w:hAnsi="Verdana"/>
          <w:sz w:val="22"/>
          <w:szCs w:val="22"/>
          <w:lang w:val="en-GB"/>
        </w:rPr>
        <w:t>2</w:t>
      </w:r>
      <w:r w:rsidRPr="00435711">
        <w:rPr>
          <w:rFonts w:ascii="Verdana" w:hAnsi="Verdana"/>
          <w:sz w:val="22"/>
          <w:szCs w:val="22"/>
          <w:vertAlign w:val="superscript"/>
          <w:lang w:val="en-GB"/>
        </w:rPr>
        <w:t>nd</w:t>
      </w:r>
      <w:r w:rsidRPr="00435711">
        <w:rPr>
          <w:rFonts w:ascii="Verdana" w:hAnsi="Verdana"/>
          <w:sz w:val="22"/>
          <w:szCs w:val="22"/>
          <w:lang w:val="en-GB"/>
        </w:rPr>
        <w:t xml:space="preserve"> April 2026</w:t>
      </w:r>
    </w:p>
    <w:p w14:paraId="4EC3A737" w14:textId="77777777" w:rsidR="00E10BB8" w:rsidRPr="00435711" w:rsidRDefault="00E10BB8" w:rsidP="00E10BB8">
      <w:pPr>
        <w:pStyle w:val="BodyText2"/>
        <w:contextualSpacing/>
        <w:rPr>
          <w:rFonts w:ascii="Verdana" w:hAnsi="Verdana"/>
          <w:sz w:val="22"/>
          <w:szCs w:val="22"/>
          <w:lang w:val="en-GB"/>
        </w:rPr>
      </w:pPr>
    </w:p>
    <w:p w14:paraId="42F2D4F4" w14:textId="77777777" w:rsidR="00E10BB8" w:rsidRPr="00435711" w:rsidRDefault="00E10BB8" w:rsidP="00E10BB8">
      <w:pPr>
        <w:pStyle w:val="BodyText2"/>
        <w:contextualSpacing/>
        <w:rPr>
          <w:rFonts w:ascii="Verdana" w:hAnsi="Verdana"/>
          <w:b/>
          <w:bCs/>
          <w:sz w:val="22"/>
          <w:szCs w:val="22"/>
          <w:u w:val="single"/>
        </w:rPr>
      </w:pPr>
      <w:r w:rsidRPr="00435711">
        <w:rPr>
          <w:rFonts w:ascii="Verdana" w:hAnsi="Verdana"/>
          <w:b/>
          <w:sz w:val="22"/>
          <w:szCs w:val="22"/>
        </w:rPr>
        <w:t>Dear Bidders,</w:t>
      </w:r>
      <w:r w:rsidRPr="00435711">
        <w:rPr>
          <w:rStyle w:val="xs2"/>
          <w:rFonts w:ascii="Verdana" w:eastAsiaTheme="majorEastAsia" w:hAnsi="Verdana"/>
          <w:b/>
          <w:bCs/>
          <w:color w:val="000000"/>
          <w:sz w:val="22"/>
          <w:szCs w:val="22"/>
          <w:lang w:val="en-GB"/>
        </w:rPr>
        <w:t xml:space="preserve"> </w:t>
      </w:r>
    </w:p>
    <w:p w14:paraId="78E064A9" w14:textId="77777777" w:rsidR="00E10BB8" w:rsidRPr="00435711" w:rsidRDefault="00E10BB8" w:rsidP="00E10BB8">
      <w:pPr>
        <w:pStyle w:val="BodyText2"/>
        <w:contextualSpacing/>
        <w:rPr>
          <w:rFonts w:ascii="Verdana" w:hAnsi="Verdana"/>
          <w:b/>
          <w:sz w:val="22"/>
          <w:szCs w:val="22"/>
          <w:lang w:val="en-GB"/>
        </w:rPr>
      </w:pPr>
    </w:p>
    <w:p w14:paraId="5382A74C" w14:textId="77777777" w:rsidR="00E10BB8" w:rsidRPr="00435711" w:rsidRDefault="00E10BB8" w:rsidP="00E10BB8">
      <w:pPr>
        <w:pStyle w:val="BodyText2"/>
        <w:contextualSpacing/>
        <w:rPr>
          <w:rFonts w:ascii="Verdana" w:hAnsi="Verdana"/>
          <w:b/>
          <w:color w:val="000000"/>
          <w:sz w:val="22"/>
          <w:szCs w:val="22"/>
        </w:rPr>
      </w:pPr>
      <w:r w:rsidRPr="00435711">
        <w:rPr>
          <w:rFonts w:ascii="Verdana" w:hAnsi="Verdana"/>
          <w:b/>
          <w:color w:val="000000"/>
          <w:sz w:val="22"/>
          <w:szCs w:val="22"/>
        </w:rPr>
        <w:t>RE:</w:t>
      </w:r>
      <w:r w:rsidRPr="00435711">
        <w:rPr>
          <w:rFonts w:ascii="Verdana" w:hAnsi="Verdana"/>
          <w:b/>
          <w:color w:val="000000"/>
          <w:sz w:val="22"/>
          <w:szCs w:val="22"/>
          <w:lang w:val="en-GB"/>
        </w:rPr>
        <w:t xml:space="preserve"> </w:t>
      </w:r>
      <w:r w:rsidRPr="00435711">
        <w:rPr>
          <w:rFonts w:ascii="Verdana" w:hAnsi="Verdana"/>
          <w:b/>
          <w:color w:val="000000"/>
          <w:sz w:val="22"/>
          <w:szCs w:val="22"/>
        </w:rPr>
        <w:t xml:space="preserve">ADDENDUM NO. </w:t>
      </w:r>
      <w:r w:rsidRPr="00435711">
        <w:rPr>
          <w:rFonts w:ascii="Verdana" w:hAnsi="Verdana"/>
          <w:b/>
          <w:color w:val="000000"/>
          <w:sz w:val="22"/>
          <w:szCs w:val="22"/>
          <w:lang w:val="en-GB"/>
        </w:rPr>
        <w:t>1</w:t>
      </w:r>
    </w:p>
    <w:p w14:paraId="5658EAD8" w14:textId="77777777" w:rsidR="00E10BB8" w:rsidRPr="00435711" w:rsidRDefault="00E10BB8" w:rsidP="00E10BB8">
      <w:pPr>
        <w:pStyle w:val="BodyText"/>
        <w:spacing w:after="0"/>
        <w:contextualSpacing/>
        <w:jc w:val="both"/>
        <w:rPr>
          <w:rFonts w:ascii="Verdana" w:hAnsi="Verdana"/>
          <w:b/>
          <w:bCs/>
          <w:iCs/>
          <w:sz w:val="22"/>
          <w:szCs w:val="22"/>
        </w:rPr>
      </w:pPr>
    </w:p>
    <w:p w14:paraId="2C365150" w14:textId="77777777" w:rsidR="00E10BB8" w:rsidRPr="00435711" w:rsidRDefault="00E10BB8" w:rsidP="00E10BB8">
      <w:pPr>
        <w:pStyle w:val="BodyText2"/>
        <w:contextualSpacing/>
        <w:rPr>
          <w:rFonts w:ascii="Verdana" w:hAnsi="Verdana"/>
          <w:b/>
          <w:bCs/>
          <w:sz w:val="22"/>
          <w:szCs w:val="22"/>
        </w:rPr>
      </w:pPr>
      <w:r w:rsidRPr="00435711">
        <w:rPr>
          <w:rFonts w:ascii="Verdana" w:hAnsi="Verdana"/>
          <w:b/>
          <w:sz w:val="22"/>
          <w:szCs w:val="22"/>
          <w:lang w:val="en-GB"/>
        </w:rPr>
        <w:t xml:space="preserve">TENDER NO. </w:t>
      </w:r>
      <w:r w:rsidRPr="00435711">
        <w:rPr>
          <w:rFonts w:ascii="Verdana" w:hAnsi="Verdana"/>
          <w:b/>
          <w:sz w:val="22"/>
          <w:szCs w:val="22"/>
        </w:rPr>
        <w:t>KPA/102/2025-26/MKTG- EXPRESSION OF INTEREST (EOI) FOR BUSINESS PROCESS OUTSOURCING (BPO) VENDOR FOR THE CUSTOMER ENGAGEMENT CENTRE (CEC)</w:t>
      </w:r>
      <w:r w:rsidRPr="00435711">
        <w:rPr>
          <w:rFonts w:ascii="Verdana" w:hAnsi="Verdana"/>
          <w:b/>
          <w:bCs/>
          <w:sz w:val="22"/>
          <w:szCs w:val="22"/>
          <w:lang w:val="en-GB"/>
        </w:rPr>
        <w:t>.</w:t>
      </w:r>
    </w:p>
    <w:p w14:paraId="3ADA32AB" w14:textId="77777777" w:rsidR="00E10BB8" w:rsidRPr="00435711" w:rsidRDefault="00E10BB8" w:rsidP="00E10BB8">
      <w:pPr>
        <w:pStyle w:val="BodyText2"/>
        <w:contextualSpacing/>
        <w:rPr>
          <w:rFonts w:ascii="Verdana" w:hAnsi="Verdana"/>
          <w:b/>
          <w:sz w:val="22"/>
          <w:szCs w:val="22"/>
        </w:rPr>
      </w:pPr>
      <w:r w:rsidRPr="00435711">
        <w:rPr>
          <w:rFonts w:ascii="Verdana" w:hAnsi="Verdana"/>
          <w:b/>
          <w:bCs/>
          <w:sz w:val="22"/>
          <w:szCs w:val="22"/>
          <w:lang w:val="en-GB"/>
        </w:rPr>
        <w:t>===============================================</w:t>
      </w:r>
      <w:r>
        <w:rPr>
          <w:rFonts w:ascii="Verdana" w:hAnsi="Verdana"/>
          <w:b/>
          <w:bCs/>
          <w:sz w:val="22"/>
          <w:szCs w:val="22"/>
          <w:lang w:val="en-GB"/>
        </w:rPr>
        <w:t>====</w:t>
      </w:r>
    </w:p>
    <w:p w14:paraId="5FD6A455" w14:textId="77777777" w:rsidR="00E10BB8" w:rsidRPr="00435711" w:rsidRDefault="00E10BB8" w:rsidP="00E10BB8">
      <w:pPr>
        <w:pStyle w:val="BodyText2"/>
        <w:contextualSpacing/>
        <w:rPr>
          <w:rFonts w:ascii="Verdana" w:hAnsi="Verdana"/>
          <w:sz w:val="22"/>
          <w:szCs w:val="22"/>
        </w:rPr>
      </w:pPr>
    </w:p>
    <w:p w14:paraId="486B4564" w14:textId="77777777" w:rsidR="00E10BB8" w:rsidRPr="00435711" w:rsidRDefault="00E10BB8" w:rsidP="00E10BB8">
      <w:pPr>
        <w:pStyle w:val="BodyText2"/>
        <w:contextualSpacing/>
        <w:rPr>
          <w:rFonts w:ascii="Verdana" w:hAnsi="Verdana"/>
          <w:sz w:val="22"/>
          <w:szCs w:val="22"/>
        </w:rPr>
      </w:pPr>
      <w:r w:rsidRPr="00435711">
        <w:rPr>
          <w:rFonts w:ascii="Verdana" w:hAnsi="Verdana"/>
          <w:sz w:val="22"/>
          <w:szCs w:val="22"/>
        </w:rPr>
        <w:t xml:space="preserve">Pursuant to clause </w:t>
      </w:r>
      <w:r w:rsidRPr="00435711">
        <w:rPr>
          <w:rFonts w:ascii="Verdana" w:hAnsi="Verdana"/>
          <w:sz w:val="22"/>
          <w:szCs w:val="22"/>
          <w:lang w:val="en-US"/>
        </w:rPr>
        <w:t>75 (1)</w:t>
      </w:r>
      <w:r w:rsidRPr="00435711">
        <w:rPr>
          <w:rFonts w:ascii="Verdana" w:hAnsi="Verdana"/>
          <w:sz w:val="22"/>
          <w:szCs w:val="22"/>
        </w:rPr>
        <w:t xml:space="preserve"> of the Public Procurement and Asset Disposal Act, 2025, the Authority hereby issues the following clarification</w:t>
      </w:r>
      <w:r w:rsidRPr="00435711">
        <w:rPr>
          <w:rFonts w:ascii="Verdana" w:hAnsi="Verdana"/>
          <w:sz w:val="22"/>
          <w:szCs w:val="22"/>
          <w:lang w:val="en-US"/>
        </w:rPr>
        <w:t>s</w:t>
      </w:r>
      <w:r w:rsidRPr="00435711">
        <w:rPr>
          <w:rFonts w:ascii="Verdana" w:hAnsi="Verdana"/>
          <w:sz w:val="22"/>
          <w:szCs w:val="22"/>
        </w:rPr>
        <w:t>: -</w:t>
      </w:r>
    </w:p>
    <w:p w14:paraId="5651F879" w14:textId="77777777" w:rsidR="00E10BB8" w:rsidRDefault="00E10BB8" w:rsidP="00E10BB8">
      <w:pPr>
        <w:pStyle w:val="BodyText2"/>
        <w:contextualSpacing/>
        <w:rPr>
          <w:rFonts w:ascii="Verdana" w:hAnsi="Verdana"/>
          <w:sz w:val="24"/>
        </w:rPr>
      </w:pPr>
    </w:p>
    <w:tbl>
      <w:tblPr>
        <w:tblStyle w:val="TableGrid"/>
        <w:tblW w:w="9900" w:type="dxa"/>
        <w:tblInd w:w="-5" w:type="dxa"/>
        <w:tblLayout w:type="fixed"/>
        <w:tblLook w:val="04A0" w:firstRow="1" w:lastRow="0" w:firstColumn="1" w:lastColumn="0" w:noHBand="0" w:noVBand="1"/>
      </w:tblPr>
      <w:tblGrid>
        <w:gridCol w:w="633"/>
        <w:gridCol w:w="3237"/>
        <w:gridCol w:w="6030"/>
      </w:tblGrid>
      <w:tr w:rsidR="00E10BB8" w:rsidRPr="007F55ED" w14:paraId="0B36AC0B" w14:textId="77777777" w:rsidTr="004A4763">
        <w:trPr>
          <w:tblHeader/>
        </w:trPr>
        <w:tc>
          <w:tcPr>
            <w:tcW w:w="633" w:type="dxa"/>
            <w:vAlign w:val="center"/>
          </w:tcPr>
          <w:p w14:paraId="21B6306C" w14:textId="77777777" w:rsidR="00E10BB8" w:rsidRPr="007F55ED" w:rsidRDefault="00E10BB8" w:rsidP="004A4763">
            <w:pPr>
              <w:rPr>
                <w:rFonts w:ascii="Verdana" w:hAnsi="Verdana"/>
                <w:b/>
                <w:bCs/>
                <w:sz w:val="20"/>
                <w:szCs w:val="20"/>
              </w:rPr>
            </w:pPr>
            <w:r w:rsidRPr="007F55ED">
              <w:rPr>
                <w:rFonts w:ascii="Verdana" w:hAnsi="Verdana"/>
                <w:b/>
                <w:bCs/>
                <w:sz w:val="20"/>
                <w:szCs w:val="20"/>
              </w:rPr>
              <w:t>No.</w:t>
            </w:r>
          </w:p>
        </w:tc>
        <w:tc>
          <w:tcPr>
            <w:tcW w:w="3237" w:type="dxa"/>
            <w:vAlign w:val="center"/>
          </w:tcPr>
          <w:p w14:paraId="656C5960" w14:textId="77777777" w:rsidR="00E10BB8" w:rsidRPr="007F55ED" w:rsidRDefault="00E10BB8" w:rsidP="004A4763">
            <w:pPr>
              <w:rPr>
                <w:rFonts w:ascii="Verdana" w:hAnsi="Verdana"/>
                <w:b/>
                <w:bCs/>
                <w:sz w:val="20"/>
                <w:szCs w:val="20"/>
              </w:rPr>
            </w:pPr>
            <w:r>
              <w:rPr>
                <w:rFonts w:ascii="Verdana" w:hAnsi="Verdana"/>
                <w:b/>
                <w:bCs/>
                <w:sz w:val="20"/>
                <w:szCs w:val="20"/>
              </w:rPr>
              <w:t>Questions From the Bidders</w:t>
            </w:r>
          </w:p>
        </w:tc>
        <w:tc>
          <w:tcPr>
            <w:tcW w:w="6030" w:type="dxa"/>
            <w:vAlign w:val="center"/>
          </w:tcPr>
          <w:p w14:paraId="08ADB648" w14:textId="77777777" w:rsidR="00E10BB8" w:rsidRPr="007F55ED" w:rsidRDefault="00E10BB8" w:rsidP="004A4763">
            <w:pPr>
              <w:rPr>
                <w:rFonts w:ascii="Verdana" w:hAnsi="Verdana"/>
                <w:b/>
                <w:bCs/>
                <w:sz w:val="20"/>
                <w:szCs w:val="20"/>
              </w:rPr>
            </w:pPr>
            <w:r w:rsidRPr="007F55ED">
              <w:rPr>
                <w:rFonts w:ascii="Verdana" w:hAnsi="Verdana"/>
                <w:b/>
                <w:bCs/>
                <w:sz w:val="20"/>
                <w:szCs w:val="20"/>
              </w:rPr>
              <w:t>KPA Response</w:t>
            </w:r>
          </w:p>
        </w:tc>
      </w:tr>
      <w:tr w:rsidR="00E10BB8" w:rsidRPr="00A84B03" w14:paraId="1F7DEB09" w14:textId="77777777" w:rsidTr="004A4763">
        <w:tc>
          <w:tcPr>
            <w:tcW w:w="633" w:type="dxa"/>
            <w:vAlign w:val="center"/>
          </w:tcPr>
          <w:p w14:paraId="4B72EB33" w14:textId="77777777" w:rsidR="00E10BB8" w:rsidRPr="007F55ED" w:rsidRDefault="00E10BB8" w:rsidP="004A4763">
            <w:pPr>
              <w:rPr>
                <w:rFonts w:ascii="Verdana" w:hAnsi="Verdana"/>
                <w:sz w:val="20"/>
                <w:szCs w:val="20"/>
              </w:rPr>
            </w:pPr>
            <w:r w:rsidRPr="007F55ED">
              <w:rPr>
                <w:rFonts w:ascii="Verdana" w:hAnsi="Verdana"/>
                <w:sz w:val="20"/>
                <w:szCs w:val="20"/>
              </w:rPr>
              <w:t>1.</w:t>
            </w:r>
          </w:p>
        </w:tc>
        <w:tc>
          <w:tcPr>
            <w:tcW w:w="3237" w:type="dxa"/>
            <w:vAlign w:val="center"/>
          </w:tcPr>
          <w:p w14:paraId="12B5EF21" w14:textId="77777777" w:rsidR="00E10BB8" w:rsidRPr="00786C89" w:rsidRDefault="00E10BB8" w:rsidP="004A4763">
            <w:pPr>
              <w:spacing w:before="240"/>
              <w:ind w:right="850"/>
              <w:jc w:val="both"/>
              <w:rPr>
                <w:rFonts w:ascii="Verdana" w:hAnsi="Verdana"/>
                <w:sz w:val="20"/>
                <w:szCs w:val="20"/>
                <w:lang w:val="en-GB"/>
              </w:rPr>
            </w:pPr>
            <w:r w:rsidRPr="003A627A">
              <w:rPr>
                <w:rFonts w:ascii="Verdana" w:hAnsi="Verdana"/>
                <w:sz w:val="20"/>
                <w:szCs w:val="20"/>
              </w:rPr>
              <w:t>There is no mention of commercials in the document. Do you require commercials?</w:t>
            </w:r>
          </w:p>
        </w:tc>
        <w:tc>
          <w:tcPr>
            <w:tcW w:w="6030" w:type="dxa"/>
            <w:vAlign w:val="center"/>
          </w:tcPr>
          <w:p w14:paraId="68A3722B" w14:textId="77777777" w:rsidR="00E10BB8" w:rsidRPr="003A627A" w:rsidRDefault="00E10BB8" w:rsidP="004A4763">
            <w:pPr>
              <w:widowControl w:val="0"/>
              <w:autoSpaceDE w:val="0"/>
              <w:autoSpaceDN w:val="0"/>
              <w:jc w:val="both"/>
              <w:rPr>
                <w:rFonts w:ascii="Verdana" w:hAnsi="Verdana"/>
                <w:sz w:val="20"/>
                <w:szCs w:val="20"/>
              </w:rPr>
            </w:pPr>
            <w:r w:rsidRPr="003A627A">
              <w:rPr>
                <w:rFonts w:ascii="Verdana" w:hAnsi="Verdana"/>
                <w:sz w:val="20"/>
                <w:szCs w:val="20"/>
              </w:rPr>
              <w:t>As per Section 3.1 (Query Handling) of the EOI document, the BPO vendor will predominantly be required to offer first level customer support. The Note under Section 3.1 further states that:</w:t>
            </w:r>
          </w:p>
          <w:p w14:paraId="615FC9C4" w14:textId="77777777" w:rsidR="00E10BB8" w:rsidRPr="003A627A" w:rsidRDefault="00E10BB8" w:rsidP="004A4763">
            <w:pPr>
              <w:widowControl w:val="0"/>
              <w:autoSpaceDE w:val="0"/>
              <w:autoSpaceDN w:val="0"/>
              <w:rPr>
                <w:rFonts w:ascii="Verdana" w:hAnsi="Verdana"/>
                <w:sz w:val="20"/>
                <w:szCs w:val="20"/>
              </w:rPr>
            </w:pPr>
            <w:r w:rsidRPr="003A627A">
              <w:rPr>
                <w:rFonts w:ascii="Verdana" w:hAnsi="Verdana"/>
                <w:sz w:val="20"/>
                <w:szCs w:val="20"/>
              </w:rPr>
              <w:t> </w:t>
            </w:r>
          </w:p>
          <w:p w14:paraId="32CC3E7E" w14:textId="77777777" w:rsidR="00E10BB8" w:rsidRPr="003A627A" w:rsidRDefault="00E10BB8" w:rsidP="004A4763">
            <w:pPr>
              <w:widowControl w:val="0"/>
              <w:autoSpaceDE w:val="0"/>
              <w:autoSpaceDN w:val="0"/>
              <w:jc w:val="both"/>
              <w:rPr>
                <w:rFonts w:ascii="Verdana" w:hAnsi="Verdana"/>
                <w:sz w:val="20"/>
                <w:szCs w:val="20"/>
              </w:rPr>
            </w:pPr>
            <w:r w:rsidRPr="003A627A">
              <w:rPr>
                <w:rFonts w:ascii="Verdana" w:hAnsi="Verdana"/>
                <w:sz w:val="20"/>
                <w:szCs w:val="20"/>
              </w:rPr>
              <w:t>"BPO Vendor will be required to undertake periodic communication on corporate initiatives as briefed by KPA aimed at meeting operational objectives such as notices on timely evacuation of cargo, adoption of new or re-engineered procedures/processes etc."</w:t>
            </w:r>
          </w:p>
          <w:p w14:paraId="60863CE4" w14:textId="77777777" w:rsidR="00E10BB8" w:rsidRPr="003A627A" w:rsidRDefault="00E10BB8" w:rsidP="004A4763">
            <w:pPr>
              <w:widowControl w:val="0"/>
              <w:autoSpaceDE w:val="0"/>
              <w:autoSpaceDN w:val="0"/>
              <w:rPr>
                <w:rFonts w:ascii="Verdana" w:hAnsi="Verdana"/>
                <w:sz w:val="20"/>
                <w:szCs w:val="20"/>
              </w:rPr>
            </w:pPr>
            <w:r w:rsidRPr="003A627A">
              <w:rPr>
                <w:rFonts w:ascii="Verdana" w:hAnsi="Verdana"/>
                <w:sz w:val="20"/>
                <w:szCs w:val="20"/>
              </w:rPr>
              <w:t> </w:t>
            </w:r>
          </w:p>
          <w:p w14:paraId="18DADDDB" w14:textId="77777777" w:rsidR="00E10BB8" w:rsidRPr="002D6215" w:rsidRDefault="00E10BB8" w:rsidP="004A4763">
            <w:pPr>
              <w:jc w:val="both"/>
              <w:rPr>
                <w:rFonts w:ascii="Verdana" w:hAnsi="Verdana"/>
                <w:sz w:val="20"/>
                <w:szCs w:val="20"/>
              </w:rPr>
            </w:pPr>
            <w:r w:rsidRPr="003A627A">
              <w:rPr>
                <w:rFonts w:ascii="Verdana" w:hAnsi="Verdana"/>
                <w:sz w:val="20"/>
                <w:szCs w:val="20"/>
              </w:rPr>
              <w:t>The purpose of this EOI is to shortlist qualified BPO vendors. Shortlisted candidates will be invited to submit full technical and financial proposals at the Request for Proposals (RFP) stage, at which point detailed pricing will be required</w:t>
            </w:r>
          </w:p>
        </w:tc>
      </w:tr>
      <w:tr w:rsidR="00E10BB8" w:rsidRPr="00A84B03" w14:paraId="1A351372" w14:textId="77777777" w:rsidTr="004A4763">
        <w:trPr>
          <w:trHeight w:val="800"/>
        </w:trPr>
        <w:tc>
          <w:tcPr>
            <w:tcW w:w="633" w:type="dxa"/>
            <w:vAlign w:val="center"/>
          </w:tcPr>
          <w:p w14:paraId="3CAE6EE5" w14:textId="77777777" w:rsidR="00E10BB8" w:rsidRPr="00A84B03" w:rsidRDefault="00E10BB8" w:rsidP="004A4763">
            <w:pPr>
              <w:rPr>
                <w:rFonts w:ascii="Verdana" w:hAnsi="Verdana"/>
                <w:sz w:val="20"/>
                <w:szCs w:val="20"/>
              </w:rPr>
            </w:pPr>
            <w:r w:rsidRPr="00A84B03">
              <w:rPr>
                <w:rFonts w:ascii="Verdana" w:hAnsi="Verdana"/>
                <w:sz w:val="20"/>
                <w:szCs w:val="20"/>
              </w:rPr>
              <w:t>2.</w:t>
            </w:r>
          </w:p>
        </w:tc>
        <w:tc>
          <w:tcPr>
            <w:tcW w:w="3237" w:type="dxa"/>
            <w:vAlign w:val="center"/>
          </w:tcPr>
          <w:p w14:paraId="0AE10AA1" w14:textId="77777777" w:rsidR="00E10BB8" w:rsidRPr="00A84B03" w:rsidRDefault="00E10BB8" w:rsidP="004A4763">
            <w:pPr>
              <w:pStyle w:val="xmsolistparagraph"/>
              <w:autoSpaceDN w:val="0"/>
              <w:spacing w:before="120"/>
              <w:ind w:left="0"/>
              <w:jc w:val="both"/>
              <w:rPr>
                <w:rFonts w:ascii="Verdana" w:hAnsi="Verdana"/>
                <w:sz w:val="20"/>
                <w:szCs w:val="20"/>
                <w:lang w:val="en-GB"/>
              </w:rPr>
            </w:pPr>
            <w:r w:rsidRPr="003A627A">
              <w:rPr>
                <w:rFonts w:ascii="Verdana" w:hAnsi="Verdana"/>
                <w:sz w:val="20"/>
                <w:szCs w:val="20"/>
              </w:rPr>
              <w:t xml:space="preserve">Do you already have a contact center </w:t>
            </w:r>
            <w:proofErr w:type="gramStart"/>
            <w:r w:rsidRPr="003A627A">
              <w:rPr>
                <w:rFonts w:ascii="Verdana" w:hAnsi="Verdana"/>
                <w:sz w:val="20"/>
                <w:szCs w:val="20"/>
              </w:rPr>
              <w:t>technology</w:t>
            </w:r>
            <w:proofErr w:type="gramEnd"/>
            <w:r w:rsidRPr="003A627A">
              <w:rPr>
                <w:rFonts w:ascii="Verdana" w:hAnsi="Verdana"/>
                <w:sz w:val="20"/>
                <w:szCs w:val="20"/>
              </w:rPr>
              <w:t xml:space="preserve"> or do you require us to propose one?</w:t>
            </w:r>
          </w:p>
        </w:tc>
        <w:tc>
          <w:tcPr>
            <w:tcW w:w="6030" w:type="dxa"/>
            <w:vAlign w:val="center"/>
          </w:tcPr>
          <w:p w14:paraId="7661883E"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As per No. 13 under the Eligibility and Evaluation Criteria requirements of the EOI document, the BPO vendor is required to have a fully functional Contact Centre solution within the Republic of Kenya.</w:t>
            </w:r>
          </w:p>
          <w:p w14:paraId="16B4B6DA"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w:t>
            </w:r>
          </w:p>
          <w:p w14:paraId="2DD77448"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KPA will provide the following, which the BPO vendor will be required to manage and operate on KPA’s behalf during the contract period:</w:t>
            </w:r>
          </w:p>
          <w:p w14:paraId="3D94B2A4"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Dedicated telephone lines with call routing and USSD functionalities</w:t>
            </w:r>
          </w:p>
          <w:p w14:paraId="0C96182B"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Official KPA customer care email address</w:t>
            </w:r>
          </w:p>
          <w:p w14:paraId="7529F43F"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Official KPA social media customer care handles</w:t>
            </w:r>
          </w:p>
          <w:p w14:paraId="658C11CA"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xml:space="preserve">•   A CRM system (being procured separately by KPA) </w:t>
            </w:r>
            <w:r w:rsidRPr="00435711">
              <w:rPr>
                <w:rFonts w:ascii="Verdana" w:hAnsi="Verdana"/>
                <w:sz w:val="20"/>
                <w:szCs w:val="20"/>
              </w:rPr>
              <w:lastRenderedPageBreak/>
              <w:t>which will serve as the single system of record for all customer interactions</w:t>
            </w:r>
          </w:p>
          <w:p w14:paraId="49936ACB"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w:t>
            </w:r>
          </w:p>
          <w:p w14:paraId="3774C39D" w14:textId="77777777" w:rsidR="00E10BB8" w:rsidRPr="00435711" w:rsidRDefault="00E10BB8" w:rsidP="004A4763">
            <w:pPr>
              <w:widowControl w:val="0"/>
              <w:autoSpaceDE w:val="0"/>
              <w:autoSpaceDN w:val="0"/>
              <w:jc w:val="both"/>
              <w:rPr>
                <w:rFonts w:ascii="Verdana" w:hAnsi="Verdana"/>
                <w:sz w:val="20"/>
                <w:szCs w:val="20"/>
              </w:rPr>
            </w:pPr>
            <w:r w:rsidRPr="00435711">
              <w:rPr>
                <w:rFonts w:ascii="Verdana" w:hAnsi="Verdana"/>
                <w:sz w:val="20"/>
                <w:szCs w:val="20"/>
              </w:rPr>
              <w:t xml:space="preserve">The BPO vendor is expected to provide their own contact </w:t>
            </w:r>
            <w:proofErr w:type="spellStart"/>
            <w:r w:rsidRPr="00435711">
              <w:rPr>
                <w:rFonts w:ascii="Verdana" w:hAnsi="Verdana"/>
                <w:sz w:val="20"/>
                <w:szCs w:val="20"/>
              </w:rPr>
              <w:t>centre</w:t>
            </w:r>
            <w:proofErr w:type="spellEnd"/>
            <w:r w:rsidRPr="00435711">
              <w:rPr>
                <w:rFonts w:ascii="Verdana" w:hAnsi="Verdana"/>
                <w:sz w:val="20"/>
                <w:szCs w:val="20"/>
              </w:rPr>
              <w:t xml:space="preserve"> infrastructure (agent workstations, telephony/ACD platform, </w:t>
            </w:r>
            <w:proofErr w:type="spellStart"/>
            <w:r w:rsidRPr="00435711">
              <w:rPr>
                <w:rFonts w:ascii="Verdana" w:hAnsi="Verdana"/>
                <w:sz w:val="20"/>
                <w:szCs w:val="20"/>
              </w:rPr>
              <w:t>dialler</w:t>
            </w:r>
            <w:proofErr w:type="spellEnd"/>
            <w:r w:rsidRPr="00435711">
              <w:rPr>
                <w:rFonts w:ascii="Verdana" w:hAnsi="Verdana"/>
                <w:sz w:val="20"/>
                <w:szCs w:val="20"/>
              </w:rPr>
              <w:t>, call recording, social media and email management tools, workforce management, and quality assurance systems) and integrate these with KPA’s CRM.</w:t>
            </w:r>
          </w:p>
          <w:p w14:paraId="15813E05" w14:textId="77777777" w:rsidR="00E10BB8" w:rsidRPr="00A84B03" w:rsidRDefault="00E10BB8" w:rsidP="004A4763">
            <w:pPr>
              <w:jc w:val="both"/>
              <w:rPr>
                <w:rFonts w:ascii="Verdana" w:hAnsi="Verdana"/>
                <w:sz w:val="20"/>
                <w:szCs w:val="20"/>
              </w:rPr>
            </w:pPr>
            <w:r w:rsidRPr="00435711">
              <w:rPr>
                <w:rFonts w:ascii="Verdana" w:hAnsi="Verdana"/>
                <w:sz w:val="20"/>
                <w:szCs w:val="20"/>
              </w:rPr>
              <w:t>Bidders should NOT propose a replacement CRM. KPA’s CRM is a fixed component of the model</w:t>
            </w:r>
          </w:p>
        </w:tc>
      </w:tr>
    </w:tbl>
    <w:p w14:paraId="0137B6CA" w14:textId="77777777" w:rsidR="00E10BB8" w:rsidRDefault="00E10BB8" w:rsidP="00E10BB8">
      <w:pPr>
        <w:pStyle w:val="BodyText2"/>
        <w:contextualSpacing/>
        <w:rPr>
          <w:rFonts w:ascii="Verdana" w:hAnsi="Verdana"/>
          <w:sz w:val="24"/>
          <w:lang w:val="en-US"/>
        </w:rPr>
      </w:pPr>
    </w:p>
    <w:p w14:paraId="516C039A" w14:textId="77777777" w:rsidR="00E10BB8" w:rsidRPr="00435711" w:rsidRDefault="00E10BB8" w:rsidP="00E10BB8">
      <w:pPr>
        <w:pStyle w:val="BodyText2"/>
        <w:rPr>
          <w:rFonts w:ascii="Verdana" w:hAnsi="Verdana"/>
          <w:sz w:val="22"/>
          <w:szCs w:val="22"/>
        </w:rPr>
      </w:pPr>
    </w:p>
    <w:p w14:paraId="37D308D5" w14:textId="77777777" w:rsidR="00E10BB8" w:rsidRPr="00435711" w:rsidRDefault="00E10BB8" w:rsidP="00E10BB8">
      <w:pPr>
        <w:pStyle w:val="BodyText2"/>
        <w:rPr>
          <w:rFonts w:ascii="Verdana" w:hAnsi="Verdana"/>
          <w:sz w:val="22"/>
          <w:szCs w:val="22"/>
        </w:rPr>
      </w:pPr>
      <w:r w:rsidRPr="00435711">
        <w:rPr>
          <w:rFonts w:ascii="Verdana" w:hAnsi="Verdana"/>
          <w:sz w:val="22"/>
          <w:szCs w:val="22"/>
        </w:rPr>
        <w:t>All other conditions of tender remain the same.</w:t>
      </w:r>
    </w:p>
    <w:p w14:paraId="3606A92C" w14:textId="77777777" w:rsidR="00E10BB8" w:rsidRPr="00435711" w:rsidRDefault="00E10BB8" w:rsidP="00E10BB8">
      <w:pPr>
        <w:jc w:val="both"/>
        <w:rPr>
          <w:rFonts w:ascii="Verdana" w:hAnsi="Verdana"/>
        </w:rPr>
      </w:pPr>
    </w:p>
    <w:p w14:paraId="3894D600" w14:textId="77777777" w:rsidR="00E10BB8" w:rsidRPr="00435711" w:rsidRDefault="00E10BB8" w:rsidP="00E10BB8">
      <w:pPr>
        <w:pStyle w:val="BodyText2"/>
        <w:rPr>
          <w:rFonts w:ascii="Verdana" w:hAnsi="Verdana"/>
          <w:sz w:val="22"/>
          <w:szCs w:val="22"/>
        </w:rPr>
      </w:pPr>
      <w:r w:rsidRPr="00435711">
        <w:rPr>
          <w:rFonts w:ascii="Verdana" w:hAnsi="Verdana"/>
          <w:sz w:val="22"/>
          <w:szCs w:val="22"/>
        </w:rPr>
        <w:t>Yours faithfully,</w:t>
      </w:r>
    </w:p>
    <w:p w14:paraId="40E28FBF" w14:textId="77777777" w:rsidR="00E10BB8" w:rsidRPr="00435711" w:rsidRDefault="00E10BB8" w:rsidP="00E10BB8">
      <w:pPr>
        <w:pStyle w:val="BodyText2"/>
        <w:rPr>
          <w:rFonts w:ascii="Verdana" w:hAnsi="Verdana"/>
          <w:color w:val="000000"/>
          <w:sz w:val="22"/>
          <w:szCs w:val="22"/>
        </w:rPr>
      </w:pPr>
    </w:p>
    <w:p w14:paraId="4EB172BE" w14:textId="77777777" w:rsidR="00E10BB8" w:rsidRPr="00435711" w:rsidRDefault="00E10BB8" w:rsidP="00E10BB8">
      <w:pPr>
        <w:pStyle w:val="BodyText2"/>
        <w:rPr>
          <w:rFonts w:ascii="Verdana" w:hAnsi="Verdana"/>
          <w:color w:val="000000"/>
          <w:sz w:val="22"/>
          <w:szCs w:val="22"/>
        </w:rPr>
      </w:pPr>
    </w:p>
    <w:p w14:paraId="088BD37F" w14:textId="77777777" w:rsidR="00E10BB8" w:rsidRPr="00435711" w:rsidRDefault="00E10BB8" w:rsidP="00E10BB8">
      <w:pPr>
        <w:pStyle w:val="BodyText2"/>
        <w:rPr>
          <w:rFonts w:ascii="Verdana" w:hAnsi="Verdana"/>
          <w:sz w:val="22"/>
          <w:szCs w:val="22"/>
          <w:lang w:val="en-US"/>
        </w:rPr>
      </w:pPr>
    </w:p>
    <w:p w14:paraId="773D54E6" w14:textId="77777777" w:rsidR="00E10BB8" w:rsidRPr="00435711" w:rsidRDefault="00E10BB8" w:rsidP="00E10BB8">
      <w:pPr>
        <w:spacing w:after="0" w:line="240" w:lineRule="auto"/>
        <w:contextualSpacing/>
        <w:rPr>
          <w:rFonts w:ascii="Verdana" w:hAnsi="Verdana"/>
        </w:rPr>
      </w:pPr>
      <w:bookmarkStart w:id="0" w:name="_Hlk142568925"/>
      <w:r w:rsidRPr="00435711">
        <w:rPr>
          <w:rFonts w:ascii="Verdana" w:hAnsi="Verdana"/>
        </w:rPr>
        <w:t>Eveline I. Shigoli</w:t>
      </w:r>
    </w:p>
    <w:p w14:paraId="06EEEA61" w14:textId="77777777" w:rsidR="00E10BB8" w:rsidRPr="00435711" w:rsidRDefault="00E10BB8" w:rsidP="00E10BB8">
      <w:pPr>
        <w:spacing w:after="0" w:line="240" w:lineRule="auto"/>
        <w:contextualSpacing/>
        <w:rPr>
          <w:rFonts w:ascii="Verdana" w:hAnsi="Verdana"/>
          <w:b/>
          <w:bCs/>
        </w:rPr>
      </w:pPr>
      <w:r w:rsidRPr="00435711">
        <w:rPr>
          <w:rFonts w:ascii="Verdana" w:hAnsi="Verdana"/>
          <w:b/>
          <w:bCs/>
        </w:rPr>
        <w:t>GENERAL MANAGER SUPPLY CHAIN MANAGEMENT</w:t>
      </w:r>
    </w:p>
    <w:p w14:paraId="16A2313B" w14:textId="77777777" w:rsidR="00E10BB8" w:rsidRPr="00435711" w:rsidRDefault="00E10BB8" w:rsidP="00E10BB8">
      <w:pPr>
        <w:pStyle w:val="BodyText2"/>
        <w:rPr>
          <w:rFonts w:ascii="Verdana" w:hAnsi="Verdana"/>
          <w:b/>
          <w:bCs/>
          <w:sz w:val="22"/>
          <w:szCs w:val="22"/>
          <w:u w:val="single"/>
        </w:rPr>
      </w:pPr>
      <w:r w:rsidRPr="00435711">
        <w:rPr>
          <w:rFonts w:ascii="Verdana" w:hAnsi="Verdana"/>
          <w:b/>
          <w:bCs/>
          <w:sz w:val="22"/>
          <w:szCs w:val="22"/>
          <w:u w:val="single"/>
        </w:rPr>
        <w:t>FOR: MANAGING DIRECTOR</w:t>
      </w:r>
      <w:bookmarkEnd w:id="0"/>
    </w:p>
    <w:p w14:paraId="67475B6E" w14:textId="77777777" w:rsidR="00E10BB8" w:rsidRPr="00435711" w:rsidRDefault="00E10BB8" w:rsidP="00E10BB8">
      <w:pPr>
        <w:rPr>
          <w:rFonts w:ascii="Verdana" w:hAnsi="Verdana"/>
          <w:b/>
          <w:bCs/>
          <w:u w:val="single"/>
          <w:lang w:val="x-none" w:eastAsia="x-none"/>
        </w:rPr>
      </w:pPr>
    </w:p>
    <w:p w14:paraId="08112560" w14:textId="77777777" w:rsidR="003D396C" w:rsidRPr="00E943F5" w:rsidRDefault="003D396C" w:rsidP="003D396C">
      <w:pPr>
        <w:spacing w:after="0" w:line="240" w:lineRule="auto"/>
        <w:rPr>
          <w:rFonts w:ascii="Verdana" w:eastAsia="Times New Roman" w:hAnsi="Verdana" w:cs="Times New Roman"/>
          <w:kern w:val="0"/>
          <w14:ligatures w14:val="none"/>
        </w:rPr>
      </w:pPr>
    </w:p>
    <w:sectPr w:rsidR="003D396C" w:rsidRPr="00E943F5" w:rsidSect="003971B8">
      <w:footerReference w:type="default" r:id="rId9"/>
      <w:pgSz w:w="11906" w:h="16838"/>
      <w:pgMar w:top="567" w:right="1440"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C02F" w14:textId="77777777" w:rsidR="004E18B1" w:rsidRDefault="004E18B1" w:rsidP="002C2ED3">
      <w:pPr>
        <w:spacing w:after="0" w:line="240" w:lineRule="auto"/>
      </w:pPr>
      <w:r>
        <w:separator/>
      </w:r>
    </w:p>
  </w:endnote>
  <w:endnote w:type="continuationSeparator" w:id="0">
    <w:p w14:paraId="3AD68D9C" w14:textId="77777777" w:rsidR="004E18B1" w:rsidRDefault="004E18B1" w:rsidP="002C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ro">
    <w:altName w:val="Calibri"/>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6D22" w14:textId="77777777" w:rsidR="003971B8" w:rsidRDefault="003971B8">
    <w:pPr>
      <w:pStyle w:val="Footer"/>
    </w:pPr>
    <w:r>
      <w:rPr>
        <w:noProof/>
      </w:rPr>
      <w:drawing>
        <wp:anchor distT="0" distB="0" distL="114300" distR="114300" simplePos="0" relativeHeight="251659264" behindDoc="0" locked="0" layoutInCell="1" allowOverlap="1" wp14:anchorId="0F34F6EC" wp14:editId="7050E2A0">
          <wp:simplePos x="0" y="0"/>
          <wp:positionH relativeFrom="column">
            <wp:posOffset>-1022190</wp:posOffset>
          </wp:positionH>
          <wp:positionV relativeFrom="paragraph">
            <wp:posOffset>-319052</wp:posOffset>
          </wp:positionV>
          <wp:extent cx="7689850" cy="1562100"/>
          <wp:effectExtent l="0" t="0" r="6350" b="0"/>
          <wp:wrapSquare wrapText="bothSides"/>
          <wp:docPr id="35203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D0AA" w14:textId="77777777" w:rsidR="004E18B1" w:rsidRDefault="004E18B1" w:rsidP="002C2ED3">
      <w:pPr>
        <w:spacing w:after="0" w:line="240" w:lineRule="auto"/>
      </w:pPr>
      <w:r>
        <w:separator/>
      </w:r>
    </w:p>
  </w:footnote>
  <w:footnote w:type="continuationSeparator" w:id="0">
    <w:p w14:paraId="573AF0E1" w14:textId="77777777" w:rsidR="004E18B1" w:rsidRDefault="004E18B1" w:rsidP="002C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6DB6"/>
    <w:multiLevelType w:val="hybridMultilevel"/>
    <w:tmpl w:val="456E11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AA0E34"/>
    <w:multiLevelType w:val="hybridMultilevel"/>
    <w:tmpl w:val="34FABA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961020F"/>
    <w:multiLevelType w:val="hybridMultilevel"/>
    <w:tmpl w:val="2D48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A5C0F"/>
    <w:multiLevelType w:val="hybridMultilevel"/>
    <w:tmpl w:val="D36A0E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8941031">
    <w:abstractNumId w:val="3"/>
  </w:num>
  <w:num w:numId="2" w16cid:durableId="1880513132">
    <w:abstractNumId w:val="1"/>
  </w:num>
  <w:num w:numId="3" w16cid:durableId="1443114264">
    <w:abstractNumId w:val="0"/>
  </w:num>
  <w:num w:numId="4" w16cid:durableId="211670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AE"/>
    <w:rsid w:val="00001B94"/>
    <w:rsid w:val="00007539"/>
    <w:rsid w:val="0002157A"/>
    <w:rsid w:val="00024352"/>
    <w:rsid w:val="00096A85"/>
    <w:rsid w:val="00096CD7"/>
    <w:rsid w:val="000B71F6"/>
    <w:rsid w:val="000C35EC"/>
    <w:rsid w:val="000E29B5"/>
    <w:rsid w:val="00105DE2"/>
    <w:rsid w:val="00122A93"/>
    <w:rsid w:val="00125F9B"/>
    <w:rsid w:val="00126023"/>
    <w:rsid w:val="00133D5F"/>
    <w:rsid w:val="0015769A"/>
    <w:rsid w:val="00160CB6"/>
    <w:rsid w:val="00171C90"/>
    <w:rsid w:val="00197660"/>
    <w:rsid w:val="001C0011"/>
    <w:rsid w:val="001C4C83"/>
    <w:rsid w:val="001D3C65"/>
    <w:rsid w:val="001F3F6A"/>
    <w:rsid w:val="00213053"/>
    <w:rsid w:val="00227ED9"/>
    <w:rsid w:val="002300D9"/>
    <w:rsid w:val="0024452C"/>
    <w:rsid w:val="002651E3"/>
    <w:rsid w:val="002673B6"/>
    <w:rsid w:val="00275D6D"/>
    <w:rsid w:val="00282154"/>
    <w:rsid w:val="002B1E46"/>
    <w:rsid w:val="002C2ED3"/>
    <w:rsid w:val="002D4B6F"/>
    <w:rsid w:val="002D5423"/>
    <w:rsid w:val="002E3172"/>
    <w:rsid w:val="002F7BC9"/>
    <w:rsid w:val="0030100F"/>
    <w:rsid w:val="00302040"/>
    <w:rsid w:val="00303708"/>
    <w:rsid w:val="003269CA"/>
    <w:rsid w:val="003275DA"/>
    <w:rsid w:val="003275F7"/>
    <w:rsid w:val="0033268D"/>
    <w:rsid w:val="0034340B"/>
    <w:rsid w:val="00355B6E"/>
    <w:rsid w:val="00361683"/>
    <w:rsid w:val="0037032A"/>
    <w:rsid w:val="0037513C"/>
    <w:rsid w:val="00396B3C"/>
    <w:rsid w:val="00396EE5"/>
    <w:rsid w:val="003971B8"/>
    <w:rsid w:val="003A2A43"/>
    <w:rsid w:val="003C3E9D"/>
    <w:rsid w:val="003D396C"/>
    <w:rsid w:val="00402DFF"/>
    <w:rsid w:val="00433A08"/>
    <w:rsid w:val="00444C3C"/>
    <w:rsid w:val="00480188"/>
    <w:rsid w:val="00485AA4"/>
    <w:rsid w:val="00486B76"/>
    <w:rsid w:val="00490CED"/>
    <w:rsid w:val="00495C20"/>
    <w:rsid w:val="004A28EC"/>
    <w:rsid w:val="004C25B6"/>
    <w:rsid w:val="004C2D9B"/>
    <w:rsid w:val="004C43A3"/>
    <w:rsid w:val="004D1942"/>
    <w:rsid w:val="004D29A1"/>
    <w:rsid w:val="004D37D3"/>
    <w:rsid w:val="004D553D"/>
    <w:rsid w:val="004E18B1"/>
    <w:rsid w:val="004F422A"/>
    <w:rsid w:val="00514CA9"/>
    <w:rsid w:val="00520EAA"/>
    <w:rsid w:val="00522EC2"/>
    <w:rsid w:val="00542E74"/>
    <w:rsid w:val="0057358F"/>
    <w:rsid w:val="00595BFC"/>
    <w:rsid w:val="005B13F5"/>
    <w:rsid w:val="005C47B8"/>
    <w:rsid w:val="005C66AB"/>
    <w:rsid w:val="005D5A1D"/>
    <w:rsid w:val="005E654D"/>
    <w:rsid w:val="005F36D2"/>
    <w:rsid w:val="00600E86"/>
    <w:rsid w:val="006056E3"/>
    <w:rsid w:val="00610930"/>
    <w:rsid w:val="006166FA"/>
    <w:rsid w:val="0063195B"/>
    <w:rsid w:val="006353ED"/>
    <w:rsid w:val="00644C24"/>
    <w:rsid w:val="00660C1E"/>
    <w:rsid w:val="006640C1"/>
    <w:rsid w:val="00664A72"/>
    <w:rsid w:val="00671E60"/>
    <w:rsid w:val="00671FDD"/>
    <w:rsid w:val="00687B4C"/>
    <w:rsid w:val="006B5998"/>
    <w:rsid w:val="006B7993"/>
    <w:rsid w:val="006D6526"/>
    <w:rsid w:val="006E5CAB"/>
    <w:rsid w:val="0070030F"/>
    <w:rsid w:val="007028DE"/>
    <w:rsid w:val="00705D44"/>
    <w:rsid w:val="0072056F"/>
    <w:rsid w:val="00720DEC"/>
    <w:rsid w:val="00722BBE"/>
    <w:rsid w:val="007537A3"/>
    <w:rsid w:val="007607E5"/>
    <w:rsid w:val="0078220F"/>
    <w:rsid w:val="00782AF4"/>
    <w:rsid w:val="00786D8A"/>
    <w:rsid w:val="007872E0"/>
    <w:rsid w:val="00793C5E"/>
    <w:rsid w:val="00794460"/>
    <w:rsid w:val="007A4FF0"/>
    <w:rsid w:val="007A6459"/>
    <w:rsid w:val="007B0E73"/>
    <w:rsid w:val="007B5189"/>
    <w:rsid w:val="007C0455"/>
    <w:rsid w:val="007C52D3"/>
    <w:rsid w:val="007D1844"/>
    <w:rsid w:val="007D3322"/>
    <w:rsid w:val="007D3D80"/>
    <w:rsid w:val="007E0903"/>
    <w:rsid w:val="00802466"/>
    <w:rsid w:val="00803A84"/>
    <w:rsid w:val="00820EA2"/>
    <w:rsid w:val="00824145"/>
    <w:rsid w:val="008350DC"/>
    <w:rsid w:val="0085073F"/>
    <w:rsid w:val="00852E54"/>
    <w:rsid w:val="00854304"/>
    <w:rsid w:val="00863427"/>
    <w:rsid w:val="008664AF"/>
    <w:rsid w:val="008817FE"/>
    <w:rsid w:val="00897A79"/>
    <w:rsid w:val="008B1153"/>
    <w:rsid w:val="008C06E0"/>
    <w:rsid w:val="008C0CE2"/>
    <w:rsid w:val="008C1852"/>
    <w:rsid w:val="008D13B4"/>
    <w:rsid w:val="008D71B7"/>
    <w:rsid w:val="00924F73"/>
    <w:rsid w:val="00927060"/>
    <w:rsid w:val="00927B4D"/>
    <w:rsid w:val="00950759"/>
    <w:rsid w:val="00952503"/>
    <w:rsid w:val="00956197"/>
    <w:rsid w:val="00957504"/>
    <w:rsid w:val="009578B5"/>
    <w:rsid w:val="009623C0"/>
    <w:rsid w:val="0096589B"/>
    <w:rsid w:val="00981B7B"/>
    <w:rsid w:val="00983091"/>
    <w:rsid w:val="00993B36"/>
    <w:rsid w:val="00996BC0"/>
    <w:rsid w:val="009A6129"/>
    <w:rsid w:val="009B4C36"/>
    <w:rsid w:val="009B5E61"/>
    <w:rsid w:val="009C5954"/>
    <w:rsid w:val="009E0A0F"/>
    <w:rsid w:val="009E5DA5"/>
    <w:rsid w:val="009E6813"/>
    <w:rsid w:val="009F00B1"/>
    <w:rsid w:val="00A010FC"/>
    <w:rsid w:val="00A02489"/>
    <w:rsid w:val="00A03B8B"/>
    <w:rsid w:val="00A2307F"/>
    <w:rsid w:val="00A26069"/>
    <w:rsid w:val="00A307C9"/>
    <w:rsid w:val="00A52C30"/>
    <w:rsid w:val="00A6685D"/>
    <w:rsid w:val="00A80010"/>
    <w:rsid w:val="00AD0267"/>
    <w:rsid w:val="00AE3077"/>
    <w:rsid w:val="00AF3E55"/>
    <w:rsid w:val="00B07230"/>
    <w:rsid w:val="00B143E5"/>
    <w:rsid w:val="00B35118"/>
    <w:rsid w:val="00B46D45"/>
    <w:rsid w:val="00B632AF"/>
    <w:rsid w:val="00B64FFF"/>
    <w:rsid w:val="00B702CC"/>
    <w:rsid w:val="00B81FC6"/>
    <w:rsid w:val="00B8261C"/>
    <w:rsid w:val="00B837EE"/>
    <w:rsid w:val="00B83F45"/>
    <w:rsid w:val="00BA1B01"/>
    <w:rsid w:val="00BA76FE"/>
    <w:rsid w:val="00BB3BEB"/>
    <w:rsid w:val="00BB4E95"/>
    <w:rsid w:val="00BC183B"/>
    <w:rsid w:val="00BD48CE"/>
    <w:rsid w:val="00BE74FD"/>
    <w:rsid w:val="00BF10E1"/>
    <w:rsid w:val="00BF7D2F"/>
    <w:rsid w:val="00C15DE3"/>
    <w:rsid w:val="00C16BA9"/>
    <w:rsid w:val="00C30BA1"/>
    <w:rsid w:val="00C405BD"/>
    <w:rsid w:val="00C42507"/>
    <w:rsid w:val="00C43C70"/>
    <w:rsid w:val="00C46EE7"/>
    <w:rsid w:val="00C555FF"/>
    <w:rsid w:val="00C8473D"/>
    <w:rsid w:val="00C86AA6"/>
    <w:rsid w:val="00C94D63"/>
    <w:rsid w:val="00CA0CF6"/>
    <w:rsid w:val="00CA43C3"/>
    <w:rsid w:val="00CA7194"/>
    <w:rsid w:val="00CB594B"/>
    <w:rsid w:val="00CC519C"/>
    <w:rsid w:val="00D05635"/>
    <w:rsid w:val="00D072E5"/>
    <w:rsid w:val="00D10D58"/>
    <w:rsid w:val="00D21F23"/>
    <w:rsid w:val="00D24C8C"/>
    <w:rsid w:val="00D272C5"/>
    <w:rsid w:val="00D764A8"/>
    <w:rsid w:val="00D84491"/>
    <w:rsid w:val="00D844AF"/>
    <w:rsid w:val="00D856FD"/>
    <w:rsid w:val="00D93BFD"/>
    <w:rsid w:val="00DA0862"/>
    <w:rsid w:val="00DA3C76"/>
    <w:rsid w:val="00DB079D"/>
    <w:rsid w:val="00DB696F"/>
    <w:rsid w:val="00DD1844"/>
    <w:rsid w:val="00DF7485"/>
    <w:rsid w:val="00E10BB8"/>
    <w:rsid w:val="00E111AE"/>
    <w:rsid w:val="00E27ABC"/>
    <w:rsid w:val="00E319E7"/>
    <w:rsid w:val="00E4380B"/>
    <w:rsid w:val="00E43935"/>
    <w:rsid w:val="00E67325"/>
    <w:rsid w:val="00E75444"/>
    <w:rsid w:val="00E779F1"/>
    <w:rsid w:val="00E906B6"/>
    <w:rsid w:val="00EB3179"/>
    <w:rsid w:val="00ED0F97"/>
    <w:rsid w:val="00ED519F"/>
    <w:rsid w:val="00EF6388"/>
    <w:rsid w:val="00EF658D"/>
    <w:rsid w:val="00EF6EB1"/>
    <w:rsid w:val="00F05C2A"/>
    <w:rsid w:val="00F11AD7"/>
    <w:rsid w:val="00F16421"/>
    <w:rsid w:val="00F200C9"/>
    <w:rsid w:val="00F243EC"/>
    <w:rsid w:val="00F34602"/>
    <w:rsid w:val="00F372F7"/>
    <w:rsid w:val="00F440C0"/>
    <w:rsid w:val="00F6343C"/>
    <w:rsid w:val="00F63F2D"/>
    <w:rsid w:val="00F779CF"/>
    <w:rsid w:val="00F80840"/>
    <w:rsid w:val="00F82345"/>
    <w:rsid w:val="00F950AF"/>
    <w:rsid w:val="00FC2BE3"/>
    <w:rsid w:val="00FD7267"/>
    <w:rsid w:val="00FE6C9A"/>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6B00F"/>
  <w15:chartTrackingRefBased/>
  <w15:docId w15:val="{98D541B8-5BCA-414E-A0EB-5EFC160B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1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111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1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11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1AE"/>
    <w:rPr>
      <w:rFonts w:eastAsiaTheme="majorEastAsia" w:cstheme="majorBidi"/>
      <w:color w:val="272727" w:themeColor="text1" w:themeTint="D8"/>
    </w:rPr>
  </w:style>
  <w:style w:type="paragraph" w:styleId="Title">
    <w:name w:val="Title"/>
    <w:basedOn w:val="Normal"/>
    <w:next w:val="Normal"/>
    <w:link w:val="TitleChar"/>
    <w:uiPriority w:val="10"/>
    <w:qFormat/>
    <w:rsid w:val="00E11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1AE"/>
    <w:pPr>
      <w:spacing w:before="160"/>
      <w:jc w:val="center"/>
    </w:pPr>
    <w:rPr>
      <w:i/>
      <w:iCs/>
      <w:color w:val="404040" w:themeColor="text1" w:themeTint="BF"/>
    </w:rPr>
  </w:style>
  <w:style w:type="character" w:customStyle="1" w:styleId="QuoteChar">
    <w:name w:val="Quote Char"/>
    <w:basedOn w:val="DefaultParagraphFont"/>
    <w:link w:val="Quote"/>
    <w:uiPriority w:val="29"/>
    <w:rsid w:val="00E111AE"/>
    <w:rPr>
      <w:i/>
      <w:iCs/>
      <w:color w:val="404040" w:themeColor="text1" w:themeTint="BF"/>
    </w:rPr>
  </w:style>
  <w:style w:type="paragraph" w:styleId="ListParagraph">
    <w:name w:val="List Paragraph"/>
    <w:basedOn w:val="Normal"/>
    <w:uiPriority w:val="34"/>
    <w:qFormat/>
    <w:rsid w:val="00E111AE"/>
    <w:pPr>
      <w:ind w:left="720"/>
      <w:contextualSpacing/>
    </w:pPr>
  </w:style>
  <w:style w:type="character" w:styleId="IntenseEmphasis">
    <w:name w:val="Intense Emphasis"/>
    <w:basedOn w:val="DefaultParagraphFont"/>
    <w:uiPriority w:val="21"/>
    <w:qFormat/>
    <w:rsid w:val="00E111AE"/>
    <w:rPr>
      <w:i/>
      <w:iCs/>
      <w:color w:val="2F5496" w:themeColor="accent1" w:themeShade="BF"/>
    </w:rPr>
  </w:style>
  <w:style w:type="paragraph" w:styleId="IntenseQuote">
    <w:name w:val="Intense Quote"/>
    <w:basedOn w:val="Normal"/>
    <w:next w:val="Normal"/>
    <w:link w:val="IntenseQuoteChar"/>
    <w:uiPriority w:val="30"/>
    <w:qFormat/>
    <w:rsid w:val="00E11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1AE"/>
    <w:rPr>
      <w:i/>
      <w:iCs/>
      <w:color w:val="2F5496" w:themeColor="accent1" w:themeShade="BF"/>
    </w:rPr>
  </w:style>
  <w:style w:type="character" w:styleId="IntenseReference">
    <w:name w:val="Intense Reference"/>
    <w:basedOn w:val="DefaultParagraphFont"/>
    <w:uiPriority w:val="32"/>
    <w:qFormat/>
    <w:rsid w:val="00E111AE"/>
    <w:rPr>
      <w:b/>
      <w:bCs/>
      <w:smallCaps/>
      <w:color w:val="2F5496" w:themeColor="accent1" w:themeShade="BF"/>
      <w:spacing w:val="5"/>
    </w:rPr>
  </w:style>
  <w:style w:type="table" w:styleId="TableGrid">
    <w:name w:val="Table Grid"/>
    <w:basedOn w:val="TableNormal"/>
    <w:rsid w:val="00E1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07C9"/>
    <w:pPr>
      <w:spacing w:after="0" w:line="240" w:lineRule="auto"/>
    </w:pPr>
  </w:style>
  <w:style w:type="paragraph" w:styleId="Header">
    <w:name w:val="header"/>
    <w:basedOn w:val="Normal"/>
    <w:link w:val="HeaderChar"/>
    <w:uiPriority w:val="99"/>
    <w:unhideWhenUsed/>
    <w:rsid w:val="002C2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ED3"/>
  </w:style>
  <w:style w:type="paragraph" w:styleId="Footer">
    <w:name w:val="footer"/>
    <w:basedOn w:val="Normal"/>
    <w:link w:val="FooterChar"/>
    <w:uiPriority w:val="99"/>
    <w:unhideWhenUsed/>
    <w:rsid w:val="002C2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ED3"/>
  </w:style>
  <w:style w:type="character" w:styleId="Hyperlink">
    <w:name w:val="Hyperlink"/>
    <w:basedOn w:val="DefaultParagraphFont"/>
    <w:uiPriority w:val="99"/>
    <w:semiHidden/>
    <w:unhideWhenUsed/>
    <w:rsid w:val="007A4FF0"/>
    <w:rPr>
      <w:color w:val="0000FF"/>
      <w:u w:val="single"/>
    </w:rPr>
  </w:style>
  <w:style w:type="character" w:customStyle="1" w:styleId="CharStyle9">
    <w:name w:val="Char Style 9"/>
    <w:basedOn w:val="DefaultParagraphFont"/>
    <w:link w:val="Style8"/>
    <w:rsid w:val="00F11AD7"/>
    <w:rPr>
      <w:rFonts w:ascii="Arial" w:eastAsia="Arial" w:hAnsi="Arial" w:cs="Arial"/>
      <w:b/>
      <w:bCs/>
      <w:sz w:val="14"/>
      <w:szCs w:val="14"/>
    </w:rPr>
  </w:style>
  <w:style w:type="paragraph" w:customStyle="1" w:styleId="Style8">
    <w:name w:val="Style 8"/>
    <w:basedOn w:val="Normal"/>
    <w:link w:val="CharStyle9"/>
    <w:rsid w:val="00F11AD7"/>
    <w:pPr>
      <w:widowControl w:val="0"/>
      <w:spacing w:after="0" w:line="240" w:lineRule="auto"/>
    </w:pPr>
    <w:rPr>
      <w:rFonts w:ascii="Arial" w:eastAsia="Arial" w:hAnsi="Arial" w:cs="Arial"/>
      <w:b/>
      <w:bCs/>
      <w:sz w:val="14"/>
      <w:szCs w:val="14"/>
    </w:rPr>
  </w:style>
  <w:style w:type="paragraph" w:customStyle="1" w:styleId="Default">
    <w:name w:val="Default"/>
    <w:rsid w:val="00952503"/>
    <w:pPr>
      <w:autoSpaceDE w:val="0"/>
      <w:autoSpaceDN w:val="0"/>
      <w:adjustRightInd w:val="0"/>
      <w:spacing w:after="0" w:line="240" w:lineRule="auto"/>
    </w:pPr>
    <w:rPr>
      <w:rFonts w:ascii="Quatro" w:hAnsi="Quatro" w:cs="Quatro"/>
      <w:color w:val="000000"/>
      <w:kern w:val="0"/>
      <w:sz w:val="24"/>
      <w:szCs w:val="24"/>
    </w:rPr>
  </w:style>
  <w:style w:type="paragraph" w:customStyle="1" w:styleId="Pa2">
    <w:name w:val="Pa2"/>
    <w:basedOn w:val="Default"/>
    <w:next w:val="Default"/>
    <w:uiPriority w:val="99"/>
    <w:rsid w:val="00952503"/>
    <w:pPr>
      <w:spacing w:line="201" w:lineRule="atLeast"/>
    </w:pPr>
    <w:rPr>
      <w:rFonts w:cstheme="minorBidi"/>
      <w:color w:val="auto"/>
    </w:rPr>
  </w:style>
  <w:style w:type="character" w:customStyle="1" w:styleId="A10">
    <w:name w:val="A10"/>
    <w:uiPriority w:val="99"/>
    <w:rsid w:val="00644C24"/>
    <w:rPr>
      <w:rFonts w:cs="HelveticaNeueLT Std"/>
      <w:b/>
      <w:bCs/>
      <w:color w:val="000000"/>
      <w:sz w:val="14"/>
      <w:szCs w:val="14"/>
    </w:rPr>
  </w:style>
  <w:style w:type="paragraph" w:styleId="BodyText2">
    <w:name w:val="Body Text 2"/>
    <w:basedOn w:val="Normal"/>
    <w:link w:val="BodyText2Char"/>
    <w:unhideWhenUsed/>
    <w:rsid w:val="00E10BB8"/>
    <w:pPr>
      <w:spacing w:after="0" w:line="240" w:lineRule="auto"/>
      <w:jc w:val="both"/>
    </w:pPr>
    <w:rPr>
      <w:rFonts w:ascii="Times New Roman" w:eastAsia="Times New Roman" w:hAnsi="Times New Roman" w:cs="Times New Roman"/>
      <w:kern w:val="0"/>
      <w:sz w:val="28"/>
      <w:szCs w:val="24"/>
      <w:lang w:val="x-none" w:eastAsia="x-none"/>
      <w14:ligatures w14:val="none"/>
    </w:rPr>
  </w:style>
  <w:style w:type="character" w:customStyle="1" w:styleId="BodyText2Char">
    <w:name w:val="Body Text 2 Char"/>
    <w:basedOn w:val="DefaultParagraphFont"/>
    <w:link w:val="BodyText2"/>
    <w:rsid w:val="00E10BB8"/>
    <w:rPr>
      <w:rFonts w:ascii="Times New Roman" w:eastAsia="Times New Roman" w:hAnsi="Times New Roman" w:cs="Times New Roman"/>
      <w:kern w:val="0"/>
      <w:sz w:val="28"/>
      <w:szCs w:val="24"/>
      <w:lang w:val="x-none" w:eastAsia="x-none"/>
      <w14:ligatures w14:val="none"/>
    </w:rPr>
  </w:style>
  <w:style w:type="paragraph" w:styleId="PlainText">
    <w:name w:val="Plain Text"/>
    <w:basedOn w:val="Normal"/>
    <w:link w:val="PlainTextChar"/>
    <w:uiPriority w:val="99"/>
    <w:unhideWhenUsed/>
    <w:rsid w:val="00E10BB8"/>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E10BB8"/>
    <w:rPr>
      <w:rFonts w:ascii="Consolas" w:eastAsia="Calibri" w:hAnsi="Consolas" w:cs="Times New Roman"/>
      <w:kern w:val="0"/>
      <w:sz w:val="21"/>
      <w:szCs w:val="21"/>
      <w14:ligatures w14:val="none"/>
    </w:rPr>
  </w:style>
  <w:style w:type="paragraph" w:styleId="BodyText">
    <w:name w:val="Body Text"/>
    <w:basedOn w:val="Normal"/>
    <w:link w:val="BodyTextChar"/>
    <w:uiPriority w:val="1"/>
    <w:unhideWhenUsed/>
    <w:qFormat/>
    <w:rsid w:val="00E10BB8"/>
    <w:pPr>
      <w:spacing w:after="120" w:line="240" w:lineRule="auto"/>
    </w:pPr>
    <w:rPr>
      <w:rFonts w:ascii="Bookman Old Style" w:eastAsia="Times New Roman" w:hAnsi="Bookman Old Style" w:cs="Times New Roman"/>
      <w:kern w:val="0"/>
      <w:sz w:val="24"/>
      <w:szCs w:val="20"/>
      <w14:ligatures w14:val="none"/>
    </w:rPr>
  </w:style>
  <w:style w:type="character" w:customStyle="1" w:styleId="BodyTextChar">
    <w:name w:val="Body Text Char"/>
    <w:basedOn w:val="DefaultParagraphFont"/>
    <w:link w:val="BodyText"/>
    <w:uiPriority w:val="1"/>
    <w:rsid w:val="00E10BB8"/>
    <w:rPr>
      <w:rFonts w:ascii="Bookman Old Style" w:eastAsia="Times New Roman" w:hAnsi="Bookman Old Style" w:cs="Times New Roman"/>
      <w:kern w:val="0"/>
      <w:sz w:val="24"/>
      <w:szCs w:val="20"/>
      <w14:ligatures w14:val="none"/>
    </w:rPr>
  </w:style>
  <w:style w:type="character" w:customStyle="1" w:styleId="xs2">
    <w:name w:val="x_s2"/>
    <w:basedOn w:val="DefaultParagraphFont"/>
    <w:rsid w:val="00E10BB8"/>
  </w:style>
  <w:style w:type="paragraph" w:customStyle="1" w:styleId="xmsolistparagraph">
    <w:name w:val="x_msolistparagraph"/>
    <w:basedOn w:val="Normal"/>
    <w:rsid w:val="00E10BB8"/>
    <w:pPr>
      <w:spacing w:after="0" w:line="240" w:lineRule="auto"/>
      <w:ind w:left="720"/>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29570">
      <w:bodyDiv w:val="1"/>
      <w:marLeft w:val="0"/>
      <w:marRight w:val="0"/>
      <w:marTop w:val="0"/>
      <w:marBottom w:val="0"/>
      <w:divBdr>
        <w:top w:val="none" w:sz="0" w:space="0" w:color="auto"/>
        <w:left w:val="none" w:sz="0" w:space="0" w:color="auto"/>
        <w:bottom w:val="none" w:sz="0" w:space="0" w:color="auto"/>
        <w:right w:val="none" w:sz="0" w:space="0" w:color="auto"/>
      </w:divBdr>
    </w:div>
    <w:div w:id="166751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A8C0-7477-49EC-B9D0-D017C2EE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2127</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 Africa Technologies</dc:creator>
  <cp:keywords/>
  <dc:description/>
  <cp:lastModifiedBy>Evans P. Okwera</cp:lastModifiedBy>
  <cp:revision>2</cp:revision>
  <cp:lastPrinted>2025-08-20T03:10:00Z</cp:lastPrinted>
  <dcterms:created xsi:type="dcterms:W3CDTF">2026-04-02T09:02:00Z</dcterms:created>
  <dcterms:modified xsi:type="dcterms:W3CDTF">2026-04-02T09:02:00Z</dcterms:modified>
</cp:coreProperties>
</file>